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4" w:hanging="284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rPr/>
      </w:pPr>
      <w:r>
        <w:fldChar w:fldCharType="begin"/>
      </w:r>
      <w:r>
        <w:instrText> HYPERLINK "http://www.zso4.radom.pl/rok szkolny 2014_2015/ERASMUS/Erasmus -Regulamin wyboru uczniow.pdf" \l "page=3"</w:instrText>
      </w:r>
      <w:r>
        <w:fldChar w:fldCharType="separate"/>
      </w:r>
      <w:r>
        <w:rPr>
          <w:rStyle w:val="Czeinternetowe"/>
        </w:rPr>
        <w:t xml:space="preserve"> </w:t>
      </w:r>
      <w:r>
        <w:fldChar w:fldCharType="end"/>
      </w:r>
      <w:r>
        <w:rPr/>
        <w:drawing>
          <wp:inline distT="0" distB="0" distL="0" distR="0">
            <wp:extent cx="5760720" cy="1228725"/>
            <wp:effectExtent l="0" t="0" r="0" b="0"/>
            <wp:docPr id="1" name="Obraz 1" descr="http://www.cku-lodz.edu.pl/wp-content/uploads/2015/04/erasm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ku-lodz.edu.pl/wp-content/uploads/2015/04/erasmus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Regulamin projektu ‘ERASMUS +’ oraz wyjazdów uczniów (mobilności).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Regulamin Projektu ‘ERASMUS +’ realizowanego przy II Liceum Ogólnokształcącym im.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pl-PL"/>
        </w:rPr>
        <w:t>Marii Skłodowskiej-Curie w Końskich zatytułowanego: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pl-PL"/>
        </w:rPr>
        <w:t>„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pl-PL"/>
        </w:rPr>
        <w:t>APPLES-Applying Practices for Productive Learning of Entrepreneurial Skills”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en-US" w:eastAsia="pl-PL"/>
        </w:rPr>
        <w:t xml:space="preserve">“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 w:eastAsia="pl-PL"/>
        </w:rPr>
        <w:t>Nauka przedsiębiorczości poprzez praktykę”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I. INFORMACJE OGÓLNE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Projekt realizowany jest w okresie od 1 września 2015 do 31 sierpnia 2017 w ramach programu: ‘Erasmus +’ Edukacja Szkolna, Współpraca Szkół.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Ogólne cele projektu: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Uświadomienie oraz przybliżenie uczniom i nauczycielom różnorodności kultur, języków i wartości europejskich.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Rozwój współpracy międzynarodowej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Rozwój uczniów na drodze do obywatelstwa europejskiego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Projekt przewiduje wymianę uczniów z 7 krajów partnerskich (Niemcy/Włochy / Grecja /Portugalia/ Chorwacja/Litwa oraz Polska). Ze względu na niewielką ilość uczniów, którzy mogą uczestniczyć w tych wyjazdach traktowane są one jako wyraz uznania dla uczniów wyróżniających się zaangażowaniem w realizację projektu.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Projekt skierowany jest do uczniów w wieku 16–19 lat.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Językiem roboczym projektu jest język angielski.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6. Udział w projekcie jest dobrowolny oraz bezpłatny, gdyż jest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współfinansowany przez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Europejsk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ą.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Wyjazdy są opłacone z grantu otrzymanego przez szkołę (transport, zakwaterowanie, wyżywienie, dodatkowe ubezpieczenie), uczeń zobowiązany jest jednak posiadać kieszonkowe na drobne wydatki nie pokrywane z grantu.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ZASADY UCZESTNICTWA W PROJEKCIE.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Przy II LO w Końskich zostanie utworzony Klub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ERASMUS +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który będzie zrzeszał wszystkich uczniów chętnych do zaangażowania się w projekt.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Uczniowie zainteresowani udziałem w projekcie otrzymają zadania do wykonania (np. opracowanie logo projektu itp.).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Zadania będą wykonywane przez uczniów w czasie wolnym od zajęć szkolnych.</w:t>
      </w:r>
    </w:p>
    <w:p>
      <w:pPr>
        <w:pStyle w:val="Normal"/>
        <w:spacing w:lineRule="auto" w:line="240" w:before="0" w:after="0"/>
        <w:ind w:left="284" w:hanging="142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ocenie zadania koordynatorzy biorą pod uwagę następujące aspekty: terminowość, zaangażowanie, atrakcyjność pomysłu, jego przydatność dla celów projektowych.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Uczeń zgłaszający chęć przystąpienia do Klubu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Erasmus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jest zobowiązany dostarczyć do 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koordynatorów projektu następujące dokumenty: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zgodę rodziców / prawnych opiekunów na udział w projekcie (zał. Nr 1)</w:t>
      </w:r>
    </w:p>
    <w:p>
      <w:pPr>
        <w:pStyle w:val="Normal"/>
        <w:spacing w:lineRule="auto" w:line="240" w:before="0" w:after="0"/>
        <w:ind w:left="284" w:hanging="142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oświadczenie o gotowości przyjęcia ucznia z jednej ze szkół partnerskich. (zał Nr 2)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Do zadań uczniów biorących udział w projekcie należy: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a) wspólnie z koordynatorami omówienie i ustalenie zasad współpracy w realizacji projektu, podziału zadań w zespole; 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zgodne zespołowe podejmowanie działań objętych projektem;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rzetelne i terminowe wypełniane obowiązków wynikających z prac przydzielonych w harmonogramie;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 współpracowanie z opiekunami projektu i uczniami wchodzącymi w skład zespołu projektowego;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e) przygotowanie sprawozdania z realizacji projektu (zespół opracowuje go uwzględniając specyfikę projektu); 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f) publiczna prezentacja projektu po jego zakończeniu w terminie uzgodnionym z opiekunami </w:t>
      </w:r>
    </w:p>
    <w:p>
      <w:pPr>
        <w:pStyle w:val="Normal"/>
        <w:spacing w:lineRule="auto" w:line="240" w:before="0" w:after="0"/>
        <w:ind w:left="284" w:hanging="142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projektu.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Uczniowie mogą korzystać z pomieszczeń szkoły do celów związanych z realizacją projektu w godzinach jej pracy wyłącznie pod opieką opiekuna lub innych nauczycieli.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Osobami odpowiedzialnymi za realizację projektu są uczniowie. Nauczyciel może pełnić jedynie funkcje doradcze i kontrolne pracy uczniów.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KRYTERIA WYBORU UCZNIÓW DO MOBILNOŚCI W RAMACH PROJEKTU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Zachowanie co najmniej dobre, oraz dobre wyniki w nauce.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Komunikatywny stopień znajomości języka angielskiego.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Deklaracja przyjęcia gościa z zagranicy (w miarę możliwości mieszkaniowych).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Aktywny udział w spotkaniach w ramach Klubu KA2.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 Liczba i jakość wykonywanych zadań projektowych.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Przestrzeganie terminu realizacji zadań.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Wyboru uczniów do wyjazdów dokonują koordynatorzy projektu.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przypadku, gdy wystąpi problem z wyłonieniem uczestników wyjazdu według określonych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powyżej kryteriów, zostanie przeprowadzone losowanie wśród uczniów biorących udział w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projekcie.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uczeń zakwalifikowany do wyjazdu zgłosi rezygnację, na jego miejsce zostanie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wybrany uczeń z listy rezerwowej.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rezygnacji z wyjazdu ucznia zakwalifikowanego do tego wyjazdu bez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uzasadnionej przyczyny, koszty wynikające z tej rezygnacji ponosi rodzic / opiekun prawny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ucznia.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Koordynatorzy oraz opiekunowie projektu nie odpowiadają za zmiany wynikające z przyczyn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zewnętrznych lub od nich niezależnych.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ZASADY UCZESTNICTWA W WYJAZDACH (MOBILNOŚCI).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Aby uczeń mógł wziąć udział w wyjeździe konieczna jest zgoda rodziców/ opiekunów prawnych w formie pisemnej (zał. Nr3)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Uczestnicy wyjazdu są zobowiązani do bezwzględnego przestrzegania poleceń koordynatora projektu oraz opiekunów.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Uczestnicy wyjazdu dostosowują się do ustalonego przez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koordynatora kraju partnerskiego programu.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 Obowiązkiem każdego uczestnika wyjazdu jest kulturalne zachowanie, dbanie o dobre imię szkoły i kraju. Uczestnicy nie naruszają godności uczestników reprezentujących inną kulturę, religię czy przekonania.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W przypadku złamania powyższych reguł, uczeń zostanie wykluczony z dalszego udziału w projekcie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oraz zastosowane zostaną stosowne zapisy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statu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szkoły.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Za wszelkie zniszczenia, szkody w miejscu zakwaterowania przez ucznia odpowiedzialność finansową ponoszą rodzice / prawni opiekunowie.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>Przed wyjazdem zagranicznym zorganizowane zostanie spotkanie z rodzicami w celu przekazania niezbędnych informacji związanych z podróżą i pobytem uczniów za granicą.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V. WYKAZ ZAŁĄCZNIKÓW DO REGULAMINU.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Zgoda rodziców/ prawnych opiekunów na udział dziecka w projekcie i na przetwarzanie danych osobowych i wykorzystanie wizerunku dziecka.</w:t>
      </w:r>
    </w:p>
    <w:p>
      <w:pPr>
        <w:pStyle w:val="Normal"/>
        <w:spacing w:lineRule="auto" w:line="240" w:before="0" w:after="0"/>
        <w:ind w:left="284" w:hanging="284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 Oświadczenie o gotowości przyjęcia ucznia z jednej ze szkół partnerskich.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Zgoda na udział dziecka w wyjeździe zagranicznym i zgoda na udzielenie pomocy medycznej.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Niniejszy regulamin obowiązuje przez okres trwania projektu, tj. od dnia 1 września 2015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31 sierpnia 2017.</w:t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</w:r>
    </w:p>
    <w:p>
      <w:pPr>
        <w:pStyle w:val="NormalWeb"/>
        <w:spacing w:before="280" w:after="0"/>
        <w:ind w:left="4956" w:firstLine="1281"/>
        <w:rPr/>
      </w:pPr>
      <w:r>
        <w:rPr/>
      </w:r>
    </w:p>
    <w:p>
      <w:pPr>
        <w:pStyle w:val="NormalWeb"/>
        <w:spacing w:before="280" w:after="0"/>
        <w:rPr/>
      </w:pPr>
      <w:r>
        <w:rPr/>
        <w:tab/>
        <w:tab/>
        <w:tab/>
        <w:tab/>
        <w:tab/>
        <w:tab/>
        <w:tab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ind w:left="4956" w:firstLine="1423"/>
        <w:rPr/>
      </w:pPr>
      <w:r>
        <w:rPr/>
      </w:r>
    </w:p>
    <w:p>
      <w:pPr>
        <w:pStyle w:val="NormalWeb"/>
        <w:spacing w:before="280" w:after="0"/>
        <w:ind w:left="4956" w:hanging="5098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hanging="561"/>
        <w:rPr/>
      </w:pPr>
      <w:r>
        <w:rPr/>
      </w:r>
    </w:p>
    <w:p>
      <w:pPr>
        <w:pStyle w:val="NormalWeb"/>
        <w:spacing w:before="280" w:after="0"/>
        <w:ind w:left="4956" w:firstLine="1423"/>
        <w:rPr/>
      </w:pPr>
      <w:r>
        <w:rPr/>
      </w:r>
    </w:p>
    <w:p>
      <w:pPr>
        <w:pStyle w:val="NormalWeb"/>
        <w:spacing w:before="280" w:after="0"/>
        <w:ind w:left="4956" w:firstLine="1423"/>
        <w:rPr/>
      </w:pPr>
      <w:r>
        <w:rPr/>
      </w:r>
    </w:p>
    <w:p>
      <w:pPr>
        <w:pStyle w:val="NormalWeb"/>
        <w:spacing w:before="280" w:after="0"/>
        <w:ind w:left="4956" w:hanging="4672"/>
        <w:rPr/>
      </w:pPr>
      <w:r>
        <w:rPr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3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e696a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4da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Hind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ad579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b4229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4d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LibreOffice/4.4.5.2$Linux_x86 LibreOffice_project/40m0$Build-2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2015-09-05T08:09:00Z</dcterms:created>
  <dc:creator>komp</dc:creator>
  <dc:language>pl-PL</dc:language>
  <cp:lastModifiedBy>gosia </cp:lastModifiedBy>
  <dcterms:modified xsi:type="dcterms:W3CDTF">2015-09-18T19:23:44Z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